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RONPA0328ZPB</w:t>
      </w:r>
      <w:r>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Pr>
          <w:rFonts w:ascii="Arial" w:cs="Arial" w:eastAsia="Arial" w:hAnsi="Arial"/>
          <w:b w:val="0"/>
          <w:bCs w:val="0"/>
          <w:i w:val="1"/>
          <w:iCs w:val="1"/>
          <w:smallCaps w:val="0"/>
          <w:strike w:val="0"/>
          <w:color w:val="00000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Ogașul Slătinic</w:t>
      </w:r>
      <w:r>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264525"/>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531219792"/>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728807960"/>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Pr>
          <w:rtl w:val="0"/>
        </w:rPr>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21,47</w:t>
      </w: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97,81%</w:t>
      </w: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r>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Pr>
          <w:rtl w:val="0"/>
        </w:rPr>
      </w:r>
    </w:p>
    <w:tbl>
      <w:tblPr>
        <w:tblStyle w:val="Table7"/>
        <w:tblW w:w="8980.000000000002" w:type="dxa"/>
        <w:jc w:val="left"/>
        <w:tblInd w:w="-98.0" w:type="dxa"/>
        <w:tblLayout w:type="fixed"/>
        <w:tblLook w:val="0400"/>
      </w:tblPr>
      <w:tblGrid>
        <w:gridCol w:w="2805"/>
        <w:gridCol w:w="236"/>
        <w:gridCol w:w="2873"/>
        <w:gridCol w:w="236"/>
        <w:gridCol w:w="2830"/>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984032932"/>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73375619"/>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409842572"/>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105429729"/>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21,47</w:t>
      </w:r>
      <w:r>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RONPA0328 Ogașul Slătinic.</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sdt>
        <w:sdtPr>
          <w:id w:val="1029371780"/>
          <w:tag w:val="goog_rdk_7"/>
        </w:sdtPr>
        <w:sdtContent/>
      </w:sdt>
      <w:r>
        <w:rPr>
          <w:rtl w:val="0"/>
        </w:rPr>
      </w:r>
    </w:p>
    <w:p w:rsidR="00000000" w:rsidDel="00000000" w:rsidP="00000000" w:rsidRDefault="00000000" w:rsidRPr="00000000" w14:paraId="1066202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sdt>
        <w:sdtPr>
          <w:id w:val="1029371780"/>
          <w:tag w:val="goog_rdk_7"/>
        </w:sdtPr>
        <w:sdtContent/>
      </w:sdt>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Pr>
          <w:rtl w:val="0"/>
        </w:rPr>
      </w:r>
    </w:p>
    <w:tbl>
      <w:tblPr>
        <w:tblStyle w:val="Table8"/>
        <w:tblW w:w="8964.0" w:type="dxa"/>
        <w:jc w:val="left"/>
        <w:tblInd w:w="-97.00000000000001" w:type="dxa"/>
        <w:tblLayout w:type="fixed"/>
        <w:tblLook w:val="0000"/>
      </w:tblPr>
      <w:tblGrid>
        <w:gridCol w:w="2365"/>
        <w:gridCol w:w="6599"/>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de Alnus glutinosa şi Fraxinus excelsior (Alno-Padion, Alnion incanae, Salicion albae)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Ecosisteme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1213 Rana temporaria</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Reptile: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1256 Podarcis muralis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1261 Lacerta agilis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Chiroptere:</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1309 Pipistrellus pipistrellus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1310 Miniopterus schreibersii</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1327 Eptesicus serotinus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1331 Nyctalus leisleri</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1332 Vespertilio murinus</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ecosisteme de luncă cu valoare conservativă ridicată, caracterizate prin prezența habitatelor ripariene și a pajiștilor asociate, care contribuie la menținerea conectivității ecologice și a proceselor naturale specifice zonelor umede. Interacțiunea dintre habitatele forestiere și cele deschise generează o diversitate ridicată de microhabitate și condiții favorabile pentru numeroase specii de interes conservativ.</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rolul ecosistemelor ripariene și al pajiștilor în menținerea biodiversității, precum și de existența unor condiții favorabile pentru specii de amfibieni, reptile și chiroptere asociate habitatelor umede, lizierei forestiere și arboretelor mature. Totodată, suprapunerea cu o rezervație naturală evidențiază importanța zonei pentru conservarea patrimoniului natural și a funcțiilor ecologice specifice ecosistemelor de luncă.</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criteriul stabilit de metodologie pentru rezervațiile naturale, precum și pe prezența habitatelor și speciilor de interes conservativ asociate ecosistemelor ripariene și de pajiște.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Obiective și măsuri pentru habitatele de pajiști seminaturale din ZPB – regim de management activ</w:t>
            </w:r>
            <w:r>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     Obiectiv general de conservare</w:t>
            </w:r>
            <w:r>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r>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Obiective specifice:</w:t>
            </w:r>
            <w:r>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O1. Menținerea suprafețelor de pajiști și prevenirea abandonului sau conversiei către alte categorii de folosință.</w:t>
            </w:r>
            <w:r>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O2. Menținerea unei structuri mozaicate favorabile biodiversității.</w:t>
            </w:r>
            <w:r>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O3. Evitarea degradării habitatelor prin suprapășunat, subpășunat, compactarea solului și eroziune.</w:t>
            </w:r>
            <w:r>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O4. Limitarea utilizării substanțelor chimice și prevenirea eutrofizării habitatelor.</w:t>
            </w:r>
            <w:r>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O5. Controlul speciilor invazive și limitarea instalării vegetației lemnoase.</w:t>
            </w:r>
            <w:r>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O6. Monitorizarea utilizării habitatelor și adaptarea managementului în funcție de rezultate.</w:t>
            </w:r>
            <w:r>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Măsuri de conservare:</w:t>
            </w:r>
            <w:r>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3. În zonele montane și premontane, prima cosire se realizează numai după formarea semințelor la speciile de interes conservativ.</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4. Cosirea se realizează astfel încât să permită retragerea faunei, menținându-se anual suprafețe-refugiu necosite temporar.</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5. În zonele sensibile lucrările de cosit se realizează cu metode prin care se evită compactarea solului și degradarea microreliefului.</w:t>
            </w:r>
            <w:r>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8. 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9. Se evită atât suprapășunatul, cât și subpășunatul, precum și concentrarea excesivă a animalelor în zone sensibile ale habitatului.</w:t>
            </w:r>
            <w:r>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11. 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12. 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13. 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14. Speciile invazive se monitorizează și se controlează prin metode mecanice și măsuri cu impact redus asupra habitatelor naturale.</w:t>
            </w:r>
            <w:r>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16. 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17. Activitățile turistice și recreative se desfășoară fără afectarea habitatelor și a speciilor de interes conservativ.</w:t>
            </w:r>
            <w:r>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ripariene și de luncă</w:t>
            </w:r>
            <w:r>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pădurilor ripariene prin protejarea regimului hidrologic natural, controlul speciilor invazive caracteristice luncilor și menținerea conectivității ecologice cu cursurile de apă, fără intervenții cu caracter productiv.</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regimului hidrologic natural al luncilor și a inundațiilor periodice ca proces ecologic determinant pentru habitatele ripariene.</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Conservarea structurii și compoziției caracteristice habitatelor de zăvoaie și păduri aluviale, cu specii native ripariene.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Controlul speciilor invazive caracteristice luncilor (Amorpha fruticosa, Robinia pseudoacacia, Acer negundo, Fraxinus pennsylvanica, Ailanthus altissima și altele).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conectivității longitudinale (lungul cursului) și laterale (luncă-râu) a habitatelor ripariene.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presiunilor antropice asupra zonelor ripariene (defrișări, regularizări, exploatare de materiale).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Nu se execută tratamente cu caracter productiv în pădurile ripariene; intervențiile se rezumă la refacerea compoziției native și combatere a speciilor invazive.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Compoziția-țintă urmărește menținerea sau refacerea speciilor native caracteristice habitatului (salcie, plop alb/negru, frasin, ulm, stejar de luncă, anin), excluzând introducerea speciilor alohtone.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Se păstrează arborii bătrâni, arborii-habitat și lemnul mort (în picioare, la sol și în apă), inclusiv lemnul antrenat de viituri, ca element esențial pentru biodiversitatea ripariană.</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Se controlează activ speciile lemnoase invazive (în special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Amorpha fruticosa, Robinia pseudoacacia, Acer negundo, Fraxinus pennsylvanica, Ailanthus altissima</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prin metode mecanice repetate, fără utilizarea de erbicide care ar putea contamina apele.</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Se evită orice lucrări care modifică regimul hidrologic al luncii: nu se realizează diguri noi, regularizări de albie, drenaje, decolmatări sau lucrări care întrerup inundațiile naturale.</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Nu se efectuează exploatări de pietriș, nisip sau alte materiale din albie sau din lunca activă; depozitarea de materiale și deșeuri este interzisă.</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Accesul motorizat în zonele ripariene se limitează strict la intervenții autorizate; nu se deschid drumuri noi care fragmentează lunca.</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Refacerea zonelor degradate (defrișări istorice, plantații cu specii alohtone) se realizează cu specii native ripariene, urmărind restabilirea structurii naturale a habitatului.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monitorizează periodic starea pădurilor ripariene, prezența speciilor invazive, regimul hidrologic, conectivitatea cu cursul de apă și prezența speciilor indicator (faună acvatică, semiacvatică, păsări de luncă).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27r1nh4245r"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Bucuresti, </w:t>
      </w:r>
    </w:p>
    <w:p w:rsidR="00000000" w:rsidDel="00000000" w:rsidP="00000000" w:rsidRDefault="00000000" w:rsidRPr="00000000" w14:paraId="000000B8">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9">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 </w:t>
      </w:r>
    </w:p>
    <w:p w:rsidR="00000000" w:rsidDel="00000000" w:rsidP="00000000" w:rsidRDefault="00000000" w:rsidRPr="00000000" w14:paraId="000000BA">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B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lb5z25b5qtf" w:id="1"/>
      <w:bookmarkEnd w:id="1"/>
      <w:r>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Pr>
          <w:rtl w:val="0"/>
        </w:rPr>
      </w:r>
    </w:p>
    <w:p w:rsidR="00000000" w:rsidDel="00000000" w:rsidP="00000000" w:rsidRDefault="00000000" w:rsidRPr="00000000" w14:paraId="000000C0">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8sl9lhfcavpa" w:id="2"/>
      <w:bookmarkEnd w:id="2"/>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C1">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m5xyme0al6x" w:id="3"/>
      <w:bookmarkEnd w:id="3"/>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pe website-ul MMAP, accesând link-ul: </w:t>
      </w:r>
      <w:hyperlink r:id="rId9">
        <w:r>
          <w:rPr>
            <w:rFonts w:ascii="Arial" w:cs="Arial" w:eastAsia="Arial" w:hAnsi="Arial"/>
            <w:b w:val="0"/>
            <w:bCs w:val="0"/>
            <w:i w:val="0"/>
            <w:iCs w:val="0"/>
            <w:smallCaps w:val="0"/>
            <w:strike w:val="0"/>
            <w:color w:val="0563c1"/>
            <w:sz w:val="22"/>
            <w:szCs w:val="22"/>
            <w:u w:val="single"/>
            <w:shd w:fill="auto" w:val="clear"/>
            <w:vertAlign w:val="baseline"/>
            <w:rtl w:val="0"/>
          </w:rPr>
          <w:t xml:space="preserve">https://mmediu.ro/domenii/mediu/arii-naturale-protejate/ZPB-pnrr-i3-2/rezultatele-proiectului/</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Arial" w:cs="Arial" w:eastAsia="Arial" w:hAnsi="Arial"/>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1"/>
      <w:iCs w:val="1"/>
      <w:smallCaps w:val="0"/>
      <w:strike w:val="0"/>
      <w:color w:val="2f5496"/>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0"/>
      <w:bCs w:val="0"/>
      <w:i w:val="1"/>
      <w:iCs w:val="1"/>
      <w:smallCaps w:val="0"/>
      <w:strike w:val="0"/>
      <w:color w:val="595959"/>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rial" w:cs="Arial" w:eastAsia="Arial" w:hAnsi="Arial"/>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QBSorkqrOgJXIQ2qSjYnlcFEm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I5aDVJekNvEAgaC0FBQUI5aDVJekNvIu8BCgtBQUFCOWg1SXpDbxK/AQoLQUFBQjloNUl6Q28SC0FBQUI5aDVJekNvGiAKCXRleHQvaHRtbBITT00gMTA2NiBkZSBpbnRyb2R1cyIhCgp0ZXh0L3BsYWluEhNPTSAxMDY2IGRlIGludHJvZHVzKhsiFTExNzQwMzIxMzE3NzIwNDE0NjM1NigAOAAwyrG9gu0zOMqxvYLtM1oMZGt5aTU0eHd0YTZtcgIgAHgAmgEGCAAQABgAqgEVEhNPTSAxMDY2IGRlIGludHJvZHVzGMqxvYLtMyDKsb2C7TNCEGtpeC5mejV6bWo2enl6aXYyDWguMjdyMW5oNDI0NXIyDWgubGI1ejI1YjVxdGYyDmguOHNsOWxoZmNhdnBhMg5oLnJtNXh5bWUwYWw2eDgAciExS25zeDBvcUJlVkJzbmR5TUQwcy16V2dMNmUzVHlIa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